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A886" w14:textId="77777777" w:rsidR="000B0524" w:rsidRPr="003E3827" w:rsidRDefault="000B0524" w:rsidP="000B0524">
      <w:pPr>
        <w:spacing w:after="0" w:line="240" w:lineRule="auto"/>
        <w:jc w:val="center"/>
        <w:rPr>
          <w:rFonts w:eastAsia="Calibri" w:cstheme="minorHAnsi"/>
          <w:lang w:val="hr-HR"/>
        </w:rPr>
      </w:pPr>
    </w:p>
    <w:p w14:paraId="22446F02" w14:textId="17804184" w:rsidR="005770DF" w:rsidRPr="003E3827" w:rsidRDefault="005770DF" w:rsidP="005770D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lang w:val="hr-HR"/>
        </w:rPr>
      </w:pPr>
      <w:r w:rsidRPr="003E3827">
        <w:rPr>
          <w:rFonts w:ascii="Cambria" w:eastAsia="Calibri" w:hAnsi="Cambria" w:cs="Times New Roman"/>
          <w:lang w:val="hr-HR"/>
        </w:rPr>
        <w:t xml:space="preserve">Na temelju članka 60. stavka 1. točke 26. Statuta Grada Zagreba (Službeni glasnik Grada Zagreba 23/16, 2/18, 23/18, 3/20, 3/21, 11/21 - pročišćeni tekst i 16/22) i točke 4. Zaključka o osnivanju Povjerenstva za izradu i praćenje provedbe Programa Grada Zagreba za ravnopravnost LGBTIQ+ osoba za razdoblje do kraja 2026. (Službeni glasnik Grada Zagreba 4/24 i </w:t>
      </w:r>
      <w:r w:rsidR="007C5CA0" w:rsidRPr="003E3827">
        <w:rPr>
          <w:rFonts w:ascii="Cambria" w:eastAsia="Calibri" w:hAnsi="Cambria" w:cs="Times New Roman"/>
          <w:lang w:val="hr-HR"/>
        </w:rPr>
        <w:t>10</w:t>
      </w:r>
      <w:r w:rsidRPr="003E3827">
        <w:rPr>
          <w:rFonts w:ascii="Cambria" w:eastAsia="Calibri" w:hAnsi="Cambria" w:cs="Times New Roman"/>
          <w:lang w:val="hr-HR"/>
        </w:rPr>
        <w:t xml:space="preserve">/24), gradonačelnik Grada Zagreba, </w:t>
      </w:r>
      <w:r w:rsidR="00C40EEE">
        <w:rPr>
          <w:rFonts w:ascii="Cambria" w:eastAsia="Calibri" w:hAnsi="Cambria" w:cs="Times New Roman"/>
          <w:lang w:val="hr-HR"/>
        </w:rPr>
        <w:t>2</w:t>
      </w:r>
      <w:r w:rsidR="00400E4B">
        <w:rPr>
          <w:rFonts w:ascii="Cambria" w:eastAsia="Calibri" w:hAnsi="Cambria" w:cs="Times New Roman"/>
          <w:lang w:val="hr-HR"/>
        </w:rPr>
        <w:t>9</w:t>
      </w:r>
      <w:r w:rsidR="00C40EEE">
        <w:rPr>
          <w:rFonts w:ascii="Cambria" w:eastAsia="Calibri" w:hAnsi="Cambria" w:cs="Times New Roman"/>
          <w:lang w:val="hr-HR"/>
        </w:rPr>
        <w:t xml:space="preserve">. kolovoza </w:t>
      </w:r>
      <w:r w:rsidRPr="003E3827">
        <w:rPr>
          <w:rFonts w:ascii="Cambria" w:eastAsia="Calibri" w:hAnsi="Cambria" w:cs="Times New Roman"/>
          <w:lang w:val="hr-HR"/>
        </w:rPr>
        <w:t>2025., objavljuje</w:t>
      </w:r>
    </w:p>
    <w:p w14:paraId="060F9775" w14:textId="77777777" w:rsidR="000B0524" w:rsidRPr="005770DF" w:rsidRDefault="000B0524" w:rsidP="000B052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theme="minorHAnsi"/>
          <w:color w:val="EE0000"/>
          <w:lang w:val="hr-HR"/>
        </w:rPr>
      </w:pPr>
    </w:p>
    <w:p w14:paraId="1F32047A" w14:textId="77777777" w:rsidR="000B0524" w:rsidRPr="00887065" w:rsidRDefault="000B0524" w:rsidP="000B0524">
      <w:pPr>
        <w:autoSpaceDE w:val="0"/>
        <w:spacing w:after="0" w:line="240" w:lineRule="auto"/>
        <w:jc w:val="both"/>
        <w:rPr>
          <w:rFonts w:ascii="Cambria" w:eastAsia="Calibri" w:hAnsi="Cambria" w:cstheme="minorHAnsi"/>
          <w:bCs/>
          <w:color w:val="000000"/>
          <w:lang w:val="hr-HR"/>
        </w:rPr>
      </w:pPr>
    </w:p>
    <w:p w14:paraId="5CE26CCC" w14:textId="77777777" w:rsidR="000B0524" w:rsidRPr="00887065" w:rsidRDefault="000B0524" w:rsidP="000B0524">
      <w:pPr>
        <w:spacing w:after="0" w:line="240" w:lineRule="auto"/>
        <w:jc w:val="center"/>
        <w:rPr>
          <w:rFonts w:ascii="Cambria" w:eastAsia="Calibri" w:hAnsi="Cambria" w:cstheme="minorHAnsi"/>
          <w:b/>
          <w:lang w:val="hr-HR"/>
        </w:rPr>
      </w:pPr>
      <w:r w:rsidRPr="00887065">
        <w:rPr>
          <w:rFonts w:ascii="Cambria" w:eastAsia="Calibri" w:hAnsi="Cambria" w:cstheme="minorHAnsi"/>
          <w:b/>
          <w:lang w:val="hr-HR"/>
        </w:rPr>
        <w:t>JAVNI POZIV</w:t>
      </w:r>
    </w:p>
    <w:p w14:paraId="7574BBF4" w14:textId="77777777" w:rsidR="000B0524" w:rsidRPr="00887065" w:rsidRDefault="000B0524" w:rsidP="000B0524">
      <w:pPr>
        <w:spacing w:after="0" w:line="240" w:lineRule="auto"/>
        <w:jc w:val="center"/>
        <w:rPr>
          <w:rFonts w:ascii="Cambria" w:eastAsia="Calibri" w:hAnsi="Cambria" w:cstheme="minorHAnsi"/>
          <w:b/>
          <w:lang w:val="hr-HR"/>
        </w:rPr>
      </w:pPr>
      <w:r w:rsidRPr="00887065">
        <w:rPr>
          <w:rFonts w:ascii="Cambria" w:eastAsia="Calibri" w:hAnsi="Cambria" w:cstheme="minorHAnsi"/>
          <w:b/>
          <w:lang w:val="hr-HR"/>
        </w:rPr>
        <w:t xml:space="preserve">za iskaz interesa za sudjelovanje u radu Povjerenstva za izradu i praćenje provedbe Programa Grada Zagreba za ravnopravnost LGBTIQ+ osoba za razdoblje do kraja 2026. godine </w:t>
      </w:r>
    </w:p>
    <w:p w14:paraId="1A5B646C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</w:p>
    <w:p w14:paraId="3F28428D" w14:textId="77777777" w:rsidR="000B0524" w:rsidRPr="00887065" w:rsidRDefault="000B0524" w:rsidP="000B0524">
      <w:pPr>
        <w:spacing w:after="0" w:line="240" w:lineRule="auto"/>
        <w:rPr>
          <w:rFonts w:ascii="Cambria" w:eastAsia="Calibri" w:hAnsi="Cambria" w:cstheme="minorHAnsi"/>
          <w:color w:val="FF0000"/>
          <w:lang w:val="hr-HR"/>
        </w:rPr>
      </w:pPr>
    </w:p>
    <w:p w14:paraId="29095B2E" w14:textId="77777777" w:rsidR="005770DF" w:rsidRDefault="000B0524" w:rsidP="000B052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 xml:space="preserve">Pozivaju se sve zainteresirane osobe iz organizacija civilnog društva koje se aktivno bave problematikom LGBTIQ+ populacije i relevantnim temama vezanim uz promociju i zaštitu prava LGBTIQ+ osoba </w:t>
      </w:r>
      <w:r w:rsidRPr="00887065">
        <w:rPr>
          <w:rFonts w:ascii="Cambria" w:eastAsia="Calibri" w:hAnsi="Cambria" w:cstheme="minorHAnsi"/>
          <w:bCs/>
          <w:lang w:val="hr-HR"/>
        </w:rPr>
        <w:t xml:space="preserve">na podnošenje </w:t>
      </w:r>
      <w:r w:rsidRPr="00887065">
        <w:rPr>
          <w:rFonts w:ascii="Cambria" w:eastAsia="Calibri" w:hAnsi="Cambria" w:cstheme="minorHAnsi"/>
          <w:lang w:val="hr-HR"/>
        </w:rPr>
        <w:t xml:space="preserve">prijava za iskaz interesa za sudjelovanje u radu Povjerenstva za izradu i praćenje provedbe Programa Grada Zagreba za ravnopravnost LGBTIQ+ osoba za razdoblje do kraja 2026. godine (u daljnjem tekstu: Povjerenstvo). </w:t>
      </w:r>
    </w:p>
    <w:p w14:paraId="068DE15C" w14:textId="5E038010" w:rsidR="000B0524" w:rsidRPr="00887065" w:rsidRDefault="000B0524" w:rsidP="005770DF">
      <w:pPr>
        <w:spacing w:after="200" w:line="276" w:lineRule="auto"/>
        <w:ind w:left="360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Iz redova organizacija civilnog društva, temeljem ovog javnog p</w:t>
      </w:r>
      <w:r w:rsidR="00402488">
        <w:rPr>
          <w:rFonts w:ascii="Cambria" w:eastAsia="Calibri" w:hAnsi="Cambria" w:cstheme="minorHAnsi"/>
          <w:lang w:val="hr-HR"/>
        </w:rPr>
        <w:t>oziva, izabrat će se najviše četiri (4</w:t>
      </w:r>
      <w:r w:rsidRPr="00887065">
        <w:rPr>
          <w:rFonts w:ascii="Cambria" w:eastAsia="Calibri" w:hAnsi="Cambria" w:cstheme="minorHAnsi"/>
          <w:lang w:val="hr-HR"/>
        </w:rPr>
        <w:t xml:space="preserve">) </w:t>
      </w:r>
      <w:r w:rsidR="004129B1">
        <w:rPr>
          <w:rFonts w:ascii="Cambria" w:eastAsia="Calibri" w:hAnsi="Cambria" w:cstheme="minorHAnsi"/>
          <w:lang w:val="hr-HR"/>
        </w:rPr>
        <w:t>osob</w:t>
      </w:r>
      <w:r w:rsidRPr="00887065">
        <w:rPr>
          <w:rFonts w:ascii="Cambria" w:eastAsia="Calibri" w:hAnsi="Cambria" w:cstheme="minorHAnsi"/>
          <w:lang w:val="hr-HR"/>
        </w:rPr>
        <w:t xml:space="preserve">e </w:t>
      </w:r>
      <w:r w:rsidR="004129B1">
        <w:rPr>
          <w:rFonts w:ascii="Cambria" w:eastAsia="Calibri" w:hAnsi="Cambria" w:cstheme="minorHAnsi"/>
          <w:lang w:val="hr-HR"/>
        </w:rPr>
        <w:t xml:space="preserve">s iskustvom u bavljenju temama vezanim uz </w:t>
      </w:r>
      <w:r w:rsidRPr="00887065">
        <w:rPr>
          <w:rFonts w:ascii="Cambria" w:eastAsia="Calibri" w:hAnsi="Cambria" w:cstheme="minorHAnsi"/>
          <w:lang w:val="hr-HR"/>
        </w:rPr>
        <w:t xml:space="preserve"> LGBTIQ+ osob</w:t>
      </w:r>
      <w:r w:rsidR="004129B1">
        <w:rPr>
          <w:rFonts w:ascii="Cambria" w:eastAsia="Calibri" w:hAnsi="Cambria" w:cstheme="minorHAnsi"/>
          <w:lang w:val="hr-HR"/>
        </w:rPr>
        <w:t>e</w:t>
      </w:r>
      <w:r w:rsidRPr="00887065">
        <w:rPr>
          <w:rFonts w:ascii="Cambria" w:eastAsia="Calibri" w:hAnsi="Cambria" w:cstheme="minorHAnsi"/>
          <w:lang w:val="hr-HR"/>
        </w:rPr>
        <w:t xml:space="preserve">. </w:t>
      </w:r>
    </w:p>
    <w:p w14:paraId="0C0B3A80" w14:textId="77777777" w:rsidR="000B0524" w:rsidRPr="00887065" w:rsidRDefault="000B0524" w:rsidP="000B0524">
      <w:pPr>
        <w:ind w:left="360"/>
        <w:contextualSpacing/>
        <w:jc w:val="both"/>
        <w:rPr>
          <w:rFonts w:ascii="Cambria" w:eastAsia="Calibri" w:hAnsi="Cambria" w:cstheme="minorHAnsi"/>
          <w:lang w:val="hr-HR"/>
        </w:rPr>
      </w:pPr>
    </w:p>
    <w:p w14:paraId="72958EB6" w14:textId="77777777" w:rsidR="000B0524" w:rsidRPr="00887065" w:rsidRDefault="000B0524" w:rsidP="000B052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Zadaće</w:t>
      </w:r>
      <w:r w:rsidRPr="00887065">
        <w:rPr>
          <w:rFonts w:ascii="Cambria" w:eastAsia="Calibri" w:hAnsi="Cambria" w:cstheme="minorHAnsi"/>
          <w:color w:val="FF0000"/>
          <w:lang w:val="hr-HR"/>
        </w:rPr>
        <w:t xml:space="preserve"> </w:t>
      </w:r>
      <w:r w:rsidRPr="00887065">
        <w:rPr>
          <w:rFonts w:ascii="Cambria" w:eastAsia="Calibri" w:hAnsi="Cambria" w:cstheme="minorHAnsi"/>
          <w:lang w:val="hr-HR"/>
        </w:rPr>
        <w:t>članova Povjerenstva su:</w:t>
      </w:r>
    </w:p>
    <w:p w14:paraId="6E90D86C" w14:textId="77777777" w:rsidR="000B0524" w:rsidRPr="00887065" w:rsidRDefault="000B0524" w:rsidP="000B0524">
      <w:pPr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bookmarkStart w:id="0" w:name="_Hlk203734432"/>
      <w:r w:rsidRPr="00887065">
        <w:rPr>
          <w:rFonts w:ascii="Cambria" w:eastAsia="Calibri" w:hAnsi="Cambria" w:cstheme="minorHAnsi"/>
          <w:lang w:val="hr-HR"/>
        </w:rPr>
        <w:t>praćenje provedbe mjera i aktivnosti iz Programa Grada Zagreba za ravnopravnost LGBTIQ+ osoba za razdoblje do kraja 2026. godine (u daljnjem tekstu: Program);</w:t>
      </w:r>
    </w:p>
    <w:p w14:paraId="45CB8E43" w14:textId="77777777" w:rsidR="000B0524" w:rsidRPr="00887065" w:rsidRDefault="000B0524" w:rsidP="000B0524">
      <w:pPr>
        <w:numPr>
          <w:ilvl w:val="0"/>
          <w:numId w:val="7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 xml:space="preserve">koordinacija i suradnja s gradskim upravnim tijelima, organizacijama civilnog društva  </w:t>
      </w:r>
      <w:r w:rsidRPr="00887065">
        <w:rPr>
          <w:rFonts w:ascii="Cambria" w:eastAsia="Calibri" w:hAnsi="Cambria" w:cstheme="minorHAnsi"/>
          <w:lang w:val="hr-HR"/>
        </w:rPr>
        <w:br/>
        <w:t>i javnim ustanovama u provođenju mjera i aktivnosti;</w:t>
      </w:r>
    </w:p>
    <w:p w14:paraId="2D1D70E4" w14:textId="77777777" w:rsidR="000B0524" w:rsidRPr="00887065" w:rsidRDefault="000B0524" w:rsidP="000B0524">
      <w:pPr>
        <w:numPr>
          <w:ilvl w:val="0"/>
          <w:numId w:val="6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razmatranje izvješća o provedbi mjera i aktivnosti iz Programa</w:t>
      </w:r>
      <w:bookmarkEnd w:id="0"/>
      <w:r w:rsidRPr="00887065">
        <w:rPr>
          <w:rFonts w:ascii="Cambria" w:eastAsia="Calibri" w:hAnsi="Cambria" w:cstheme="minorHAnsi"/>
          <w:lang w:val="hr-HR"/>
        </w:rPr>
        <w:t>.</w:t>
      </w:r>
    </w:p>
    <w:p w14:paraId="5D80986B" w14:textId="77777777" w:rsidR="000B0524" w:rsidRPr="00887065" w:rsidRDefault="000B0524" w:rsidP="000B0524">
      <w:pPr>
        <w:spacing w:after="0" w:line="240" w:lineRule="auto"/>
        <w:ind w:left="360"/>
        <w:jc w:val="both"/>
        <w:rPr>
          <w:rFonts w:ascii="Cambria" w:eastAsia="Calibri" w:hAnsi="Cambria" w:cstheme="minorHAnsi"/>
          <w:lang w:val="hr-HR"/>
        </w:rPr>
      </w:pPr>
    </w:p>
    <w:p w14:paraId="2964268D" w14:textId="77777777" w:rsidR="000B0524" w:rsidRPr="00887065" w:rsidRDefault="000B0524" w:rsidP="000B0524">
      <w:pPr>
        <w:numPr>
          <w:ilvl w:val="0"/>
          <w:numId w:val="3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bookmarkStart w:id="1" w:name="_Hlk79135672"/>
      <w:r w:rsidRPr="00887065">
        <w:rPr>
          <w:rFonts w:ascii="Cambria" w:eastAsia="Calibri" w:hAnsi="Cambria" w:cstheme="minorHAnsi"/>
          <w:lang w:val="hr-HR"/>
        </w:rPr>
        <w:t>Za člana/članicu Povjerenstva može biti imenovana osoba koja ispunjava sljedeće uvjete:</w:t>
      </w:r>
    </w:p>
    <w:p w14:paraId="0227B55C" w14:textId="77777777" w:rsidR="000B0524" w:rsidRPr="00887065" w:rsidRDefault="000B0524" w:rsidP="000B0524">
      <w:pPr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bookmarkStart w:id="2" w:name="_Hlk78977107"/>
      <w:r w:rsidRPr="00887065">
        <w:rPr>
          <w:rFonts w:ascii="Cambria" w:eastAsia="Calibri" w:hAnsi="Cambria" w:cstheme="minorHAnsi"/>
          <w:lang w:val="hr-HR"/>
        </w:rPr>
        <w:t>protiv osobe se ne vodi kazneni postupak</w:t>
      </w:r>
      <w:bookmarkEnd w:id="2"/>
      <w:r w:rsidRPr="00887065">
        <w:rPr>
          <w:rFonts w:ascii="Cambria" w:eastAsia="Calibri" w:hAnsi="Cambria" w:cstheme="minorHAnsi"/>
          <w:lang w:val="hr-HR"/>
        </w:rPr>
        <w:t xml:space="preserve">, </w:t>
      </w:r>
    </w:p>
    <w:p w14:paraId="48653E7F" w14:textId="5E65D1DA" w:rsidR="000B0524" w:rsidRPr="00887065" w:rsidRDefault="00B00035" w:rsidP="000B0524">
      <w:pPr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>
        <w:rPr>
          <w:rFonts w:ascii="Cambria" w:eastAsia="Calibri" w:hAnsi="Cambria" w:cstheme="minorHAnsi"/>
          <w:lang w:val="hr-HR"/>
        </w:rPr>
        <w:t xml:space="preserve">ima </w:t>
      </w:r>
      <w:r w:rsidR="000B0524" w:rsidRPr="00887065">
        <w:rPr>
          <w:rFonts w:ascii="Cambria" w:eastAsia="Calibri" w:hAnsi="Cambria" w:cstheme="minorHAnsi"/>
          <w:lang w:val="hr-HR"/>
        </w:rPr>
        <w:t>iskustvo u provedbi projekata vezanih uz ravnopravnost LGBTIQ+ osoba i iskustvo direktnog rada s LGBTIQ+ osobama,</w:t>
      </w:r>
    </w:p>
    <w:p w14:paraId="6F1B7131" w14:textId="7F0A34CA" w:rsidR="000B0524" w:rsidRPr="00887065" w:rsidRDefault="00B00035" w:rsidP="000B0524">
      <w:pPr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>
        <w:rPr>
          <w:rFonts w:ascii="Cambria" w:eastAsia="Calibri" w:hAnsi="Cambria" w:cstheme="minorHAnsi"/>
          <w:lang w:val="hr-HR"/>
        </w:rPr>
        <w:t xml:space="preserve">ima </w:t>
      </w:r>
      <w:r w:rsidR="000B0524" w:rsidRPr="00887065">
        <w:rPr>
          <w:rFonts w:ascii="Cambria" w:eastAsia="Calibri" w:hAnsi="Cambria" w:cstheme="minorHAnsi"/>
          <w:lang w:val="hr-HR"/>
        </w:rPr>
        <w:t>iskustvo u kreiranju javnih politika stečeno kroz rad u organizacijama civilnog društva, znanstveno - istraživačkim institucijama, političkim savjetodavnim tijelima ili bilo kojim drugim tijelima  gdje se oblikuju i provode javne politike.</w:t>
      </w:r>
      <w:bookmarkStart w:id="3" w:name="_Hlk79136611"/>
      <w:bookmarkEnd w:id="1"/>
    </w:p>
    <w:p w14:paraId="0AD25A97" w14:textId="77777777" w:rsidR="000B0524" w:rsidRPr="00887065" w:rsidRDefault="000B0524" w:rsidP="000B0524">
      <w:pPr>
        <w:spacing w:after="0" w:line="240" w:lineRule="auto"/>
        <w:ind w:left="360"/>
        <w:jc w:val="both"/>
        <w:rPr>
          <w:rFonts w:ascii="Cambria" w:eastAsia="Calibri" w:hAnsi="Cambria" w:cstheme="minorHAnsi"/>
          <w:lang w:val="hr-HR"/>
        </w:rPr>
      </w:pPr>
    </w:p>
    <w:p w14:paraId="42EA1B03" w14:textId="76E2C921" w:rsidR="000B0524" w:rsidRPr="00887065" w:rsidRDefault="000B0524" w:rsidP="000B0524">
      <w:pPr>
        <w:numPr>
          <w:ilvl w:val="0"/>
          <w:numId w:val="3"/>
        </w:numPr>
        <w:spacing w:after="135" w:line="240" w:lineRule="auto"/>
        <w:contextualSpacing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 xml:space="preserve">Uz ispunjavanje uvjeta utvrđenih točkom </w:t>
      </w:r>
      <w:r w:rsidR="00B00035">
        <w:rPr>
          <w:rFonts w:ascii="Cambria" w:eastAsia="Calibri" w:hAnsi="Cambria" w:cstheme="minorHAnsi"/>
          <w:lang w:val="hr-HR"/>
        </w:rPr>
        <w:t>3</w:t>
      </w:r>
      <w:r w:rsidRPr="00887065">
        <w:rPr>
          <w:rFonts w:ascii="Cambria" w:eastAsia="Calibri" w:hAnsi="Cambria" w:cstheme="minorHAnsi"/>
          <w:lang w:val="hr-HR"/>
        </w:rPr>
        <w:t>. ovog javnog poziva, prednost će imati osobe</w:t>
      </w:r>
      <w:r w:rsidR="004129B1">
        <w:rPr>
          <w:rFonts w:ascii="Cambria" w:eastAsia="Calibri" w:hAnsi="Cambria" w:cstheme="minorHAnsi"/>
          <w:lang w:val="hr-HR"/>
        </w:rPr>
        <w:t xml:space="preserve"> koje</w:t>
      </w:r>
      <w:r w:rsidRPr="00887065">
        <w:rPr>
          <w:rFonts w:ascii="Cambria" w:eastAsia="Calibri" w:hAnsi="Cambria" w:cstheme="minorHAnsi"/>
          <w:lang w:val="hr-HR"/>
        </w:rPr>
        <w:t>:</w:t>
      </w:r>
    </w:p>
    <w:p w14:paraId="2A1B18DC" w14:textId="431A9515" w:rsidR="000B0524" w:rsidRPr="00887065" w:rsidRDefault="000B0524" w:rsidP="000B05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theme="minorHAnsi"/>
          <w:strike/>
          <w:lang w:val="hr-HR" w:eastAsia="hr-HR"/>
        </w:rPr>
      </w:pPr>
      <w:r w:rsidRPr="00887065">
        <w:rPr>
          <w:rFonts w:ascii="Cambria" w:eastAsia="Calibri" w:hAnsi="Cambria" w:cstheme="minorHAnsi"/>
          <w:lang w:val="hr-HR"/>
        </w:rPr>
        <w:t>imaju višegodišnje iskustvo u području promicanja i zaštite prava LGBTIQ+ osoba uz priloženu preporuku organizacije civilnog društva koja se bavi pitanjima od značaja za LGBTIQ+ osobe</w:t>
      </w:r>
      <w:r w:rsidRPr="00887065">
        <w:rPr>
          <w:rFonts w:ascii="Cambria" w:eastAsia="Times New Roman" w:hAnsi="Cambria" w:cstheme="minorHAnsi"/>
          <w:lang w:val="hr-HR" w:eastAsia="hr-HR"/>
        </w:rPr>
        <w:t>,</w:t>
      </w:r>
    </w:p>
    <w:p w14:paraId="6C95706F" w14:textId="1FF6502A" w:rsidR="000B0524" w:rsidRDefault="000B0524" w:rsidP="007776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mogu svojim radom, angažmanom i idejama pridonijeti unapređenju politika ravnopravnosti LGBTIQ+ osoba</w:t>
      </w:r>
      <w:r w:rsidR="002A2A70">
        <w:rPr>
          <w:rFonts w:ascii="Cambria" w:eastAsia="Calibri" w:hAnsi="Cambria" w:cstheme="minorHAnsi"/>
          <w:lang w:val="hr-HR"/>
        </w:rPr>
        <w:t>,</w:t>
      </w:r>
    </w:p>
    <w:p w14:paraId="476E315A" w14:textId="28A9FFF7" w:rsidR="002A2A70" w:rsidRPr="00887065" w:rsidRDefault="002A2A70" w:rsidP="0077765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imaju prebivalište na području Grada Zagreba</w:t>
      </w:r>
      <w:r>
        <w:rPr>
          <w:rFonts w:ascii="Cambria" w:eastAsia="Calibri" w:hAnsi="Cambria" w:cstheme="minorHAnsi"/>
          <w:lang w:val="hr-HR"/>
        </w:rPr>
        <w:t>.</w:t>
      </w:r>
    </w:p>
    <w:bookmarkEnd w:id="3"/>
    <w:p w14:paraId="7C77DEEF" w14:textId="77777777" w:rsidR="000B0524" w:rsidRPr="00887065" w:rsidRDefault="000B0524" w:rsidP="000B0524">
      <w:pPr>
        <w:spacing w:after="0" w:line="240" w:lineRule="auto"/>
        <w:rPr>
          <w:rFonts w:ascii="Cambria" w:eastAsia="Calibri" w:hAnsi="Cambria" w:cstheme="minorHAnsi"/>
          <w:lang w:val="hr-HR"/>
        </w:rPr>
      </w:pPr>
    </w:p>
    <w:p w14:paraId="1DB05FE0" w14:textId="77777777" w:rsidR="000B0524" w:rsidRPr="00887065" w:rsidRDefault="000B0524" w:rsidP="000B0524">
      <w:pPr>
        <w:numPr>
          <w:ilvl w:val="0"/>
          <w:numId w:val="3"/>
        </w:numPr>
        <w:spacing w:after="0" w:line="240" w:lineRule="auto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Prijava na javni poziv treba sadržavati:</w:t>
      </w:r>
    </w:p>
    <w:p w14:paraId="125AE154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popunjen i vlastoručno potpisan prijavni obrazac (link u privitku),</w:t>
      </w:r>
    </w:p>
    <w:p w14:paraId="43831BE5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vlastoručno potpisanu Privolu za prikupljanje i obrađivanje  osobnih podataka  (link u privitku),</w:t>
      </w:r>
    </w:p>
    <w:p w14:paraId="17D20BDE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presliku osobne iskaznice,</w:t>
      </w:r>
    </w:p>
    <w:p w14:paraId="701DF7CC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lastRenderedPageBreak/>
        <w:t xml:space="preserve">uvjerenje nadležnog suda ili sustava e-građani da se protiv osobe ne vodi kazneni postupak, ne starije od 6 mjeseci od dana raspisivanja javnog poziva, </w:t>
      </w:r>
    </w:p>
    <w:p w14:paraId="48B83722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životopis (do 800 znakova),</w:t>
      </w:r>
    </w:p>
    <w:p w14:paraId="5E27EE17" w14:textId="77777777" w:rsidR="000B0524" w:rsidRPr="00887065" w:rsidRDefault="000B0524" w:rsidP="000B0524">
      <w:pPr>
        <w:numPr>
          <w:ilvl w:val="0"/>
          <w:numId w:val="2"/>
        </w:numPr>
        <w:spacing w:after="0" w:line="240" w:lineRule="auto"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motivacijsko pismo (do 800 znakova).</w:t>
      </w:r>
    </w:p>
    <w:p w14:paraId="3CE5C0EC" w14:textId="77777777" w:rsidR="000B0524" w:rsidRPr="00887065" w:rsidRDefault="000B0524" w:rsidP="000B0524">
      <w:pPr>
        <w:spacing w:after="0" w:line="240" w:lineRule="auto"/>
        <w:jc w:val="center"/>
        <w:rPr>
          <w:rFonts w:ascii="Cambria" w:eastAsia="Calibri" w:hAnsi="Cambria" w:cstheme="minorHAnsi"/>
          <w:b/>
          <w:lang w:val="hr-HR"/>
        </w:rPr>
      </w:pPr>
    </w:p>
    <w:p w14:paraId="5526EC09" w14:textId="77777777" w:rsidR="000B0524" w:rsidRPr="00887065" w:rsidRDefault="000B0524" w:rsidP="000B052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mbria" w:eastAsia="Calibri" w:hAnsi="Cambria" w:cstheme="minorHAnsi"/>
          <w:lang w:val="hr-HR"/>
        </w:rPr>
      </w:pPr>
      <w:r w:rsidRPr="00887065">
        <w:rPr>
          <w:rFonts w:ascii="Cambria" w:eastAsia="Calibri" w:hAnsi="Cambria" w:cstheme="minorHAnsi"/>
          <w:lang w:val="hr-HR"/>
        </w:rPr>
        <w:t>Gradski ured za kulturu i civilno društvo obavit će provjeru i razmatranje pristiglih prijava s pripadajućom dokumentacijom. Nepotpune i nepravodobne prijave neće se razmatrati.</w:t>
      </w:r>
    </w:p>
    <w:p w14:paraId="5139E7FD" w14:textId="77777777" w:rsidR="000B0524" w:rsidRPr="00887065" w:rsidRDefault="000B0524" w:rsidP="000B0524">
      <w:pPr>
        <w:spacing w:after="0" w:line="240" w:lineRule="auto"/>
        <w:ind w:left="360"/>
        <w:contextualSpacing/>
        <w:jc w:val="both"/>
        <w:rPr>
          <w:rFonts w:ascii="Cambria" w:eastAsia="Calibri" w:hAnsi="Cambria" w:cstheme="minorHAnsi"/>
          <w:color w:val="FF0000"/>
          <w:lang w:val="hr-HR"/>
        </w:rPr>
      </w:pPr>
    </w:p>
    <w:p w14:paraId="3585C321" w14:textId="66191330" w:rsidR="000B0524" w:rsidRPr="00887065" w:rsidRDefault="000B0524" w:rsidP="000B05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Calibri" w:hAnsi="Cambria" w:cstheme="minorHAnsi"/>
          <w:color w:val="000000"/>
          <w:lang w:val="hr-HR"/>
        </w:rPr>
      </w:pPr>
      <w:r w:rsidRPr="00887065">
        <w:rPr>
          <w:rFonts w:ascii="Cambria" w:eastAsia="Calibri" w:hAnsi="Cambria" w:cstheme="minorHAnsi"/>
          <w:color w:val="000000"/>
          <w:lang w:val="hr-HR"/>
        </w:rPr>
        <w:t xml:space="preserve">Ukoliko ste zainteresirani za sudjelovanje u radu Povjerenstva za izradu i praćenje provedbe Programa Grada Zagreba za ravnopravnost LGBTIQ+ osoba za razdoblje do kraja 2026. godine te udovoljavate uvjetima koji su navedeni u ovom javnom pozivu, prijave s traženom dokumentacijom dostavite na e-mail adresu </w:t>
      </w:r>
      <w:hyperlink r:id="rId5" w:history="1">
        <w:r w:rsidR="00047A3D" w:rsidRPr="00887065">
          <w:rPr>
            <w:rStyle w:val="Hyperlink"/>
            <w:rFonts w:ascii="Cambria" w:eastAsia="Calibri" w:hAnsi="Cambria" w:cstheme="minorHAnsi"/>
            <w:lang w:val="hr-HR"/>
          </w:rPr>
          <w:t>ravnopravnost@zagreb.hr</w:t>
        </w:r>
      </w:hyperlink>
      <w:r w:rsidRPr="00887065">
        <w:rPr>
          <w:rFonts w:ascii="Cambria" w:eastAsia="Calibri" w:hAnsi="Cambria" w:cstheme="minorHAnsi"/>
          <w:color w:val="000000"/>
          <w:lang w:val="hr-HR"/>
        </w:rPr>
        <w:t xml:space="preserve"> </w:t>
      </w:r>
      <w:r w:rsidR="00C40EEE">
        <w:rPr>
          <w:rFonts w:ascii="Cambria" w:eastAsia="Calibri" w:hAnsi="Cambria" w:cstheme="minorHAnsi"/>
          <w:color w:val="000000"/>
          <w:lang w:val="hr-HR"/>
        </w:rPr>
        <w:t xml:space="preserve">najkasnije do </w:t>
      </w:r>
      <w:r w:rsidR="00FC0BB7">
        <w:rPr>
          <w:rFonts w:ascii="Cambria" w:eastAsia="Calibri" w:hAnsi="Cambria" w:cstheme="minorHAnsi"/>
          <w:color w:val="000000"/>
          <w:lang w:val="hr-HR"/>
        </w:rPr>
        <w:t>1</w:t>
      </w:r>
      <w:r w:rsidR="0012457C">
        <w:rPr>
          <w:rFonts w:ascii="Cambria" w:eastAsia="Calibri" w:hAnsi="Cambria" w:cstheme="minorHAnsi"/>
          <w:color w:val="000000"/>
          <w:lang w:val="hr-HR"/>
        </w:rPr>
        <w:t>2</w:t>
      </w:r>
      <w:r w:rsidR="00C40EEE">
        <w:rPr>
          <w:rFonts w:ascii="Cambria" w:eastAsia="Calibri" w:hAnsi="Cambria" w:cstheme="minorHAnsi"/>
          <w:color w:val="000000"/>
          <w:lang w:val="hr-HR"/>
        </w:rPr>
        <w:t xml:space="preserve">. rujna </w:t>
      </w:r>
      <w:r w:rsidRPr="00887065">
        <w:rPr>
          <w:rFonts w:ascii="Cambria" w:eastAsia="Calibri" w:hAnsi="Cambria" w:cstheme="minorHAnsi"/>
          <w:color w:val="000000"/>
          <w:lang w:val="hr-HR"/>
        </w:rPr>
        <w:t>2025.</w:t>
      </w:r>
    </w:p>
    <w:p w14:paraId="679BAA3E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i/>
          <w:color w:val="FF0000"/>
          <w:lang w:val="hr-HR"/>
        </w:rPr>
      </w:pPr>
    </w:p>
    <w:p w14:paraId="59DF03E2" w14:textId="77777777" w:rsidR="000B0524" w:rsidRPr="00887065" w:rsidRDefault="000B0524" w:rsidP="000B0524">
      <w:pPr>
        <w:spacing w:after="0" w:line="240" w:lineRule="auto"/>
        <w:jc w:val="center"/>
        <w:rPr>
          <w:rFonts w:ascii="Cambria" w:eastAsia="Calibri" w:hAnsi="Cambria" w:cstheme="minorHAnsi"/>
          <w:i/>
          <w:lang w:val="hr-HR"/>
        </w:rPr>
      </w:pPr>
    </w:p>
    <w:p w14:paraId="5BA4DC80" w14:textId="77777777" w:rsidR="000B0524" w:rsidRPr="00887065" w:rsidRDefault="000B0524" w:rsidP="000B0524">
      <w:pPr>
        <w:spacing w:after="0" w:line="240" w:lineRule="auto"/>
        <w:rPr>
          <w:rFonts w:ascii="Cambria" w:eastAsia="Calibri" w:hAnsi="Cambria" w:cstheme="minorHAnsi"/>
          <w:b/>
          <w:lang w:val="hr-HR"/>
        </w:rPr>
      </w:pPr>
    </w:p>
    <w:p w14:paraId="5EAC0DD0" w14:textId="77777777" w:rsidR="000B0524" w:rsidRPr="00887065" w:rsidRDefault="000B0524" w:rsidP="000B0524">
      <w:pPr>
        <w:spacing w:after="0" w:line="240" w:lineRule="auto"/>
        <w:rPr>
          <w:rFonts w:ascii="Cambria" w:eastAsia="Calibri" w:hAnsi="Cambria" w:cstheme="minorHAnsi"/>
          <w:b/>
          <w:lang w:val="hr-HR"/>
        </w:rPr>
      </w:pPr>
    </w:p>
    <w:p w14:paraId="099AD34F" w14:textId="77777777" w:rsidR="000B0524" w:rsidRPr="00887065" w:rsidRDefault="000B0524" w:rsidP="000B0524">
      <w:pPr>
        <w:spacing w:after="0" w:line="240" w:lineRule="auto"/>
        <w:rPr>
          <w:rFonts w:ascii="Cambria" w:eastAsia="Calibri" w:hAnsi="Cambria" w:cstheme="minorHAnsi"/>
          <w:b/>
          <w:lang w:val="hr-HR"/>
        </w:rPr>
      </w:pPr>
    </w:p>
    <w:p w14:paraId="13A94303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5F7C7E3D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4603D42F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1BEFE9BD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5DE6C941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79C3BB65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64F90A66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4110DCDF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3EF62D7B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053B92B1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59773CF5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4E6A66BC" w14:textId="77777777" w:rsidR="000B0524" w:rsidRPr="00887065" w:rsidRDefault="000B0524" w:rsidP="000B0524">
      <w:pPr>
        <w:spacing w:after="0" w:line="240" w:lineRule="auto"/>
        <w:jc w:val="both"/>
        <w:rPr>
          <w:rFonts w:ascii="Cambria" w:eastAsia="Calibri" w:hAnsi="Cambria" w:cstheme="minorHAnsi"/>
          <w:b/>
          <w:lang w:val="hr-HR"/>
        </w:rPr>
      </w:pPr>
    </w:p>
    <w:p w14:paraId="62F40B11" w14:textId="77777777" w:rsidR="00435557" w:rsidRPr="00402488" w:rsidRDefault="00435557">
      <w:pPr>
        <w:rPr>
          <w:rFonts w:ascii="Cambria" w:hAnsi="Cambria" w:cstheme="minorHAnsi"/>
          <w:lang w:val="hr-HR"/>
        </w:rPr>
      </w:pPr>
    </w:p>
    <w:sectPr w:rsidR="00435557" w:rsidRPr="0040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A6D"/>
    <w:multiLevelType w:val="hybridMultilevel"/>
    <w:tmpl w:val="3D36A652"/>
    <w:lvl w:ilvl="0" w:tplc="42AE696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EF41E7"/>
    <w:multiLevelType w:val="hybridMultilevel"/>
    <w:tmpl w:val="148C979C"/>
    <w:lvl w:ilvl="0" w:tplc="E60C004E">
      <w:start w:val="1"/>
      <w:numFmt w:val="decimal"/>
      <w:lvlText w:val="%1."/>
      <w:lvlJc w:val="left"/>
      <w:pPr>
        <w:ind w:left="1068" w:hanging="360"/>
      </w:pPr>
      <w:rPr>
        <w:rFonts w:ascii="Cambria" w:eastAsia="Calibri" w:hAnsi="Cambria" w:cs="Arial"/>
        <w:strike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011662"/>
    <w:multiLevelType w:val="hybridMultilevel"/>
    <w:tmpl w:val="A314B93A"/>
    <w:lvl w:ilvl="0" w:tplc="73BA4782">
      <w:numFmt w:val="bullet"/>
      <w:lvlText w:val="-"/>
      <w:lvlJc w:val="left"/>
      <w:pPr>
        <w:ind w:left="1068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674A48"/>
    <w:multiLevelType w:val="hybridMultilevel"/>
    <w:tmpl w:val="AD3688D4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5BDC5555"/>
    <w:multiLevelType w:val="hybridMultilevel"/>
    <w:tmpl w:val="BC246816"/>
    <w:lvl w:ilvl="0" w:tplc="73BA4782">
      <w:numFmt w:val="bullet"/>
      <w:lvlText w:val="-"/>
      <w:lvlJc w:val="left"/>
      <w:pPr>
        <w:ind w:left="1068" w:hanging="360"/>
      </w:pPr>
      <w:rPr>
        <w:rFonts w:ascii="Cambria" w:eastAsia="Calibri" w:hAnsi="Cambria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BF7069"/>
    <w:multiLevelType w:val="hybridMultilevel"/>
    <w:tmpl w:val="69F8E1A6"/>
    <w:lvl w:ilvl="0" w:tplc="73BA4782">
      <w:numFmt w:val="bullet"/>
      <w:lvlText w:val="-"/>
      <w:lvlJc w:val="left"/>
      <w:pPr>
        <w:ind w:left="1068" w:hanging="360"/>
      </w:pPr>
      <w:rPr>
        <w:rFonts w:ascii="Cambria" w:eastAsia="Calibri" w:hAnsi="Cambria" w:cs="Arial" w:hint="default"/>
      </w:rPr>
    </w:lvl>
    <w:lvl w:ilvl="1" w:tplc="73BA4782">
      <w:numFmt w:val="bullet"/>
      <w:lvlText w:val="-"/>
      <w:lvlJc w:val="left"/>
      <w:pPr>
        <w:ind w:left="1788" w:hanging="360"/>
      </w:pPr>
      <w:rPr>
        <w:rFonts w:ascii="Cambria" w:eastAsia="Calibri" w:hAnsi="Cambria" w:cs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3704917">
    <w:abstractNumId w:val="4"/>
  </w:num>
  <w:num w:numId="2" w16cid:durableId="2108311508">
    <w:abstractNumId w:val="1"/>
  </w:num>
  <w:num w:numId="3" w16cid:durableId="1625308092">
    <w:abstractNumId w:val="0"/>
  </w:num>
  <w:num w:numId="4" w16cid:durableId="906721099">
    <w:abstractNumId w:val="2"/>
  </w:num>
  <w:num w:numId="5" w16cid:durableId="643774675">
    <w:abstractNumId w:val="5"/>
  </w:num>
  <w:num w:numId="6" w16cid:durableId="224416223">
    <w:abstractNumId w:val="6"/>
  </w:num>
  <w:num w:numId="7" w16cid:durableId="150610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24"/>
    <w:rsid w:val="00047A3D"/>
    <w:rsid w:val="000B0524"/>
    <w:rsid w:val="0012457C"/>
    <w:rsid w:val="001B2A4F"/>
    <w:rsid w:val="00213730"/>
    <w:rsid w:val="002A2A70"/>
    <w:rsid w:val="003A6215"/>
    <w:rsid w:val="003E3827"/>
    <w:rsid w:val="00400E4B"/>
    <w:rsid w:val="00402488"/>
    <w:rsid w:val="004129B1"/>
    <w:rsid w:val="00435557"/>
    <w:rsid w:val="005770DF"/>
    <w:rsid w:val="00584D28"/>
    <w:rsid w:val="0078024D"/>
    <w:rsid w:val="007C5CA0"/>
    <w:rsid w:val="00887065"/>
    <w:rsid w:val="008F0032"/>
    <w:rsid w:val="008F386E"/>
    <w:rsid w:val="00B00035"/>
    <w:rsid w:val="00BE5B66"/>
    <w:rsid w:val="00C12838"/>
    <w:rsid w:val="00C40EEE"/>
    <w:rsid w:val="00D4322F"/>
    <w:rsid w:val="00E62C6E"/>
    <w:rsid w:val="00FC0BB7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089F"/>
  <w15:chartTrackingRefBased/>
  <w15:docId w15:val="{83584F7C-C916-4FFF-9717-C41BCFA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A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B1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9B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9B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0003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nopravnost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Baltin Stojkanović</dc:creator>
  <cp:keywords/>
  <dc:description/>
  <cp:lastModifiedBy>Lidija Baltin Stojkanović</cp:lastModifiedBy>
  <cp:revision>4</cp:revision>
  <dcterms:created xsi:type="dcterms:W3CDTF">2025-08-29T11:21:00Z</dcterms:created>
  <dcterms:modified xsi:type="dcterms:W3CDTF">2025-08-29T11:27:00Z</dcterms:modified>
</cp:coreProperties>
</file>